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15" w:rsidRPr="00336015" w:rsidRDefault="00336015" w:rsidP="003360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Финансовые ресурсы ДОУ и их использование.</w:t>
      </w:r>
    </w:p>
    <w:p w:rsidR="00336015" w:rsidRPr="00336015" w:rsidRDefault="00336015" w:rsidP="0033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потоки, поступающие в адрес детского садика отрегулированы</w:t>
      </w:r>
      <w:proofErr w:type="gramEnd"/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 обеспечивает его стабильное функционирование.</w:t>
      </w:r>
    </w:p>
    <w:p w:rsidR="00336015" w:rsidRPr="00336015" w:rsidRDefault="00336015" w:rsidP="0033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11B00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b/>
          <w:bCs/>
          <w:color w:val="711B00"/>
          <w:sz w:val="28"/>
          <w:szCs w:val="28"/>
          <w:lang w:eastAsia="ru-RU"/>
        </w:rPr>
        <w:t>Доходы учреждения складываются из двух источников:</w:t>
      </w:r>
    </w:p>
    <w:p w:rsidR="00336015" w:rsidRPr="00336015" w:rsidRDefault="00336015" w:rsidP="0033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финансирование ДОУ из областного и городского бюджета</w:t>
      </w:r>
    </w:p>
    <w:p w:rsidR="00336015" w:rsidRPr="00336015" w:rsidRDefault="00336015" w:rsidP="0033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(оплата родителей за питание, благотворительные поступления).</w:t>
      </w:r>
    </w:p>
    <w:p w:rsidR="00336015" w:rsidRPr="00336015" w:rsidRDefault="00336015" w:rsidP="0033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11B00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b/>
          <w:bCs/>
          <w:color w:val="711B00"/>
          <w:sz w:val="28"/>
          <w:szCs w:val="28"/>
          <w:lang w:eastAsia="ru-RU"/>
        </w:rPr>
        <w:t>Бюджетное финансирование включает в себя все расходы учреждения:</w:t>
      </w:r>
    </w:p>
    <w:p w:rsidR="00336015" w:rsidRPr="00336015" w:rsidRDefault="00336015" w:rsidP="00336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и начисления на заработную плату</w:t>
      </w:r>
    </w:p>
    <w:p w:rsidR="00336015" w:rsidRPr="00336015" w:rsidRDefault="00336015" w:rsidP="00336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платежи и услуги связи</w:t>
      </w:r>
    </w:p>
    <w:p w:rsidR="00336015" w:rsidRPr="00336015" w:rsidRDefault="00336015" w:rsidP="00336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по содержанию здания</w:t>
      </w:r>
    </w:p>
    <w:p w:rsidR="00336015" w:rsidRPr="00336015" w:rsidRDefault="00336015" w:rsidP="00336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расходы</w:t>
      </w:r>
    </w:p>
    <w:p w:rsidR="00336015" w:rsidRPr="00336015" w:rsidRDefault="00336015" w:rsidP="00336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основных средств и других материальных ценн</w:t>
      </w:r>
      <w:bookmarkStart w:id="0" w:name="_GoBack"/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End w:id="0"/>
      <w:r w:rsidRPr="0033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</w:p>
    <w:p w:rsidR="00FF0022" w:rsidRPr="00336015" w:rsidRDefault="00FF0022">
      <w:pPr>
        <w:rPr>
          <w:rFonts w:ascii="Times New Roman" w:hAnsi="Times New Roman" w:cs="Times New Roman"/>
          <w:sz w:val="28"/>
          <w:szCs w:val="28"/>
        </w:rPr>
      </w:pPr>
    </w:p>
    <w:sectPr w:rsidR="00FF0022" w:rsidRPr="00336015" w:rsidSect="003360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2B"/>
    <w:multiLevelType w:val="multilevel"/>
    <w:tmpl w:val="A7BC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51AA9"/>
    <w:multiLevelType w:val="multilevel"/>
    <w:tmpl w:val="DAAE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EF"/>
    <w:rsid w:val="00336015"/>
    <w:rsid w:val="00A437EF"/>
    <w:rsid w:val="00CE132F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2</cp:revision>
  <dcterms:created xsi:type="dcterms:W3CDTF">2016-09-18T15:22:00Z</dcterms:created>
  <dcterms:modified xsi:type="dcterms:W3CDTF">2016-09-18T15:25:00Z</dcterms:modified>
</cp:coreProperties>
</file>